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4C0" w:rsidRDefault="004934C0">
      <w:pPr>
        <w:rPr>
          <w:sz w:val="28"/>
          <w:szCs w:val="28"/>
        </w:rPr>
      </w:pPr>
    </w:p>
    <w:p w:rsidR="00004F42" w:rsidRDefault="00004F42">
      <w:pPr>
        <w:rPr>
          <w:sz w:val="28"/>
          <w:szCs w:val="28"/>
        </w:rPr>
      </w:pPr>
    </w:p>
    <w:p w:rsidR="00004F42" w:rsidRDefault="00004F42">
      <w:pPr>
        <w:rPr>
          <w:sz w:val="28"/>
          <w:szCs w:val="28"/>
        </w:rPr>
      </w:pPr>
    </w:p>
    <w:p w:rsidR="00004F42" w:rsidRDefault="00004F42">
      <w:pPr>
        <w:rPr>
          <w:sz w:val="28"/>
          <w:szCs w:val="28"/>
        </w:rPr>
      </w:pPr>
    </w:p>
    <w:p w:rsidR="00EF2106" w:rsidRDefault="00EF2106">
      <w:pPr>
        <w:rPr>
          <w:sz w:val="28"/>
          <w:szCs w:val="28"/>
        </w:rPr>
      </w:pPr>
    </w:p>
    <w:p w:rsidR="00EF2106" w:rsidRDefault="00EF2106">
      <w:pPr>
        <w:rPr>
          <w:sz w:val="28"/>
          <w:szCs w:val="28"/>
        </w:rPr>
      </w:pPr>
    </w:p>
    <w:p w:rsidR="00EF2106" w:rsidRPr="00055193" w:rsidRDefault="00EF2106" w:rsidP="00EF2106">
      <w:pPr>
        <w:jc w:val="center"/>
        <w:rPr>
          <w:rFonts w:ascii="Times New Roman" w:hAnsi="Times New Roman" w:cs="Times New Roman"/>
          <w:sz w:val="72"/>
          <w:szCs w:val="72"/>
        </w:rPr>
      </w:pPr>
      <w:r w:rsidRPr="00055193">
        <w:rPr>
          <w:rFonts w:ascii="Times New Roman" w:hAnsi="Times New Roman" w:cs="Times New Roman"/>
          <w:sz w:val="72"/>
          <w:szCs w:val="72"/>
        </w:rPr>
        <w:t>VENTURA TEXTILES LIMITED</w:t>
      </w:r>
    </w:p>
    <w:p w:rsidR="00004F42" w:rsidRPr="00055193" w:rsidRDefault="00004F42" w:rsidP="00004F42">
      <w:pPr>
        <w:jc w:val="center"/>
        <w:rPr>
          <w:rFonts w:ascii="Times New Roman" w:hAnsi="Times New Roman" w:cs="Times New Roman"/>
          <w:sz w:val="56"/>
          <w:szCs w:val="56"/>
        </w:rPr>
      </w:pPr>
      <w:r w:rsidRPr="00055193">
        <w:rPr>
          <w:rFonts w:ascii="Times New Roman" w:hAnsi="Times New Roman" w:cs="Times New Roman"/>
          <w:sz w:val="56"/>
          <w:szCs w:val="56"/>
        </w:rPr>
        <w:t>(CIN: L21091MH1970PLC014865)</w:t>
      </w:r>
    </w:p>
    <w:p w:rsidR="00004F42" w:rsidRPr="008F52DA" w:rsidRDefault="00FD3FC3" w:rsidP="00FD3FC3">
      <w:pPr>
        <w:tabs>
          <w:tab w:val="left" w:pos="3057"/>
        </w:tabs>
        <w:rPr>
          <w:rFonts w:ascii="Times New Roman" w:hAnsi="Times New Roman" w:cs="Times New Roman"/>
          <w:sz w:val="56"/>
          <w:szCs w:val="56"/>
        </w:rPr>
      </w:pPr>
      <w:r>
        <w:rPr>
          <w:rFonts w:ascii="Times New Roman" w:hAnsi="Times New Roman" w:cs="Times New Roman"/>
          <w:sz w:val="56"/>
          <w:szCs w:val="56"/>
        </w:rPr>
        <w:tab/>
      </w:r>
    </w:p>
    <w:p w:rsidR="00EF2106" w:rsidRPr="008F52DA" w:rsidRDefault="008F52DA" w:rsidP="00EF2106">
      <w:pPr>
        <w:jc w:val="center"/>
        <w:rPr>
          <w:rFonts w:ascii="Times New Roman" w:hAnsi="Times New Roman" w:cs="Times New Roman"/>
          <w:sz w:val="72"/>
          <w:szCs w:val="72"/>
        </w:rPr>
      </w:pPr>
      <w:r w:rsidRPr="00055193">
        <w:rPr>
          <w:rFonts w:ascii="Times New Roman" w:hAnsi="Times New Roman" w:cs="Times New Roman"/>
          <w:sz w:val="72"/>
          <w:szCs w:val="72"/>
        </w:rPr>
        <w:t>POLICY FOR DETERMINING MATERIAL</w:t>
      </w:r>
      <w:r>
        <w:rPr>
          <w:rFonts w:ascii="Times New Roman" w:hAnsi="Times New Roman" w:cs="Times New Roman"/>
          <w:sz w:val="72"/>
          <w:szCs w:val="72"/>
        </w:rPr>
        <w:t xml:space="preserve"> </w:t>
      </w:r>
      <w:r w:rsidRPr="00055193">
        <w:rPr>
          <w:rFonts w:ascii="Times New Roman" w:hAnsi="Times New Roman" w:cs="Times New Roman"/>
          <w:sz w:val="72"/>
          <w:szCs w:val="72"/>
        </w:rPr>
        <w:t>SUBSIDIAR</w:t>
      </w:r>
      <w:r w:rsidR="00055193" w:rsidRPr="00055193">
        <w:rPr>
          <w:rFonts w:ascii="Times New Roman" w:hAnsi="Times New Roman" w:cs="Times New Roman"/>
          <w:sz w:val="72"/>
          <w:szCs w:val="72"/>
        </w:rPr>
        <w:t>IES</w:t>
      </w:r>
    </w:p>
    <w:p w:rsidR="00EF2106" w:rsidRDefault="00EF2106">
      <w:pPr>
        <w:rPr>
          <w:sz w:val="28"/>
          <w:szCs w:val="28"/>
        </w:rPr>
      </w:pPr>
    </w:p>
    <w:p w:rsidR="00EF2106" w:rsidRDefault="00EF2106">
      <w:pPr>
        <w:rPr>
          <w:sz w:val="28"/>
          <w:szCs w:val="28"/>
        </w:rPr>
      </w:pPr>
    </w:p>
    <w:p w:rsidR="00EF2106" w:rsidRDefault="00EF2106">
      <w:pPr>
        <w:rPr>
          <w:sz w:val="28"/>
          <w:szCs w:val="28"/>
        </w:rPr>
      </w:pPr>
    </w:p>
    <w:p w:rsidR="00EF2106" w:rsidRDefault="00EF2106">
      <w:pPr>
        <w:rPr>
          <w:sz w:val="28"/>
          <w:szCs w:val="28"/>
        </w:rPr>
      </w:pPr>
    </w:p>
    <w:p w:rsidR="00EF2106" w:rsidRDefault="00EF2106">
      <w:pPr>
        <w:rPr>
          <w:sz w:val="28"/>
          <w:szCs w:val="28"/>
        </w:rPr>
      </w:pPr>
    </w:p>
    <w:p w:rsidR="00EF2106" w:rsidRDefault="00EF2106">
      <w:pPr>
        <w:rPr>
          <w:sz w:val="28"/>
          <w:szCs w:val="28"/>
        </w:rPr>
      </w:pPr>
    </w:p>
    <w:p w:rsidR="00EF2106" w:rsidRDefault="00EF2106">
      <w:pPr>
        <w:rPr>
          <w:sz w:val="28"/>
          <w:szCs w:val="28"/>
        </w:rPr>
      </w:pPr>
    </w:p>
    <w:p w:rsidR="00EF2106" w:rsidRPr="00DE7A61" w:rsidRDefault="00EF2106" w:rsidP="00D535F0">
      <w:pPr>
        <w:tabs>
          <w:tab w:val="left" w:pos="3980"/>
        </w:tabs>
        <w:rPr>
          <w:sz w:val="28"/>
          <w:szCs w:val="28"/>
        </w:rPr>
      </w:pPr>
    </w:p>
    <w:p w:rsidR="00656F94" w:rsidRPr="00656F94" w:rsidRDefault="00DE7A61" w:rsidP="00DE7A61">
      <w:pPr>
        <w:tabs>
          <w:tab w:val="center" w:pos="4513"/>
          <w:tab w:val="left" w:pos="7771"/>
        </w:tabs>
        <w:rPr>
          <w:rFonts w:ascii="Times New Roman" w:hAnsi="Times New Roman" w:cs="Times New Roman"/>
          <w:b/>
          <w:sz w:val="32"/>
          <w:szCs w:val="32"/>
          <w:u w:val="single"/>
        </w:rPr>
      </w:pPr>
      <w:r w:rsidRPr="00DE7A61">
        <w:rPr>
          <w:rFonts w:ascii="Times New Roman" w:hAnsi="Times New Roman" w:cs="Times New Roman"/>
          <w:b/>
          <w:sz w:val="28"/>
          <w:szCs w:val="28"/>
        </w:rPr>
        <w:lastRenderedPageBreak/>
        <w:tab/>
      </w:r>
      <w:r w:rsidRPr="00656F94">
        <w:rPr>
          <w:rFonts w:ascii="Times New Roman" w:hAnsi="Times New Roman" w:cs="Times New Roman"/>
          <w:b/>
          <w:sz w:val="32"/>
          <w:szCs w:val="32"/>
          <w:u w:val="single"/>
        </w:rPr>
        <w:t xml:space="preserve">Policy for </w:t>
      </w:r>
      <w:r w:rsidR="00656F94">
        <w:rPr>
          <w:rFonts w:ascii="Times New Roman" w:hAnsi="Times New Roman" w:cs="Times New Roman"/>
          <w:b/>
          <w:sz w:val="32"/>
          <w:szCs w:val="32"/>
          <w:u w:val="single"/>
        </w:rPr>
        <w:t>Determining Material Subsidiary</w:t>
      </w:r>
    </w:p>
    <w:p w:rsidR="00A31A12" w:rsidRDefault="00DE7A61">
      <w:pPr>
        <w:rPr>
          <w:rFonts w:ascii="Times New Roman" w:hAnsi="Times New Roman" w:cs="Times New Roman"/>
          <w:sz w:val="24"/>
          <w:szCs w:val="24"/>
        </w:rPr>
      </w:pPr>
      <w:r w:rsidRPr="00DE7A61">
        <w:rPr>
          <w:rFonts w:ascii="Times New Roman" w:hAnsi="Times New Roman" w:cs="Times New Roman"/>
          <w:sz w:val="28"/>
          <w:szCs w:val="28"/>
        </w:rPr>
        <w:t>(</w:t>
      </w:r>
      <w:r w:rsidRPr="00DE7A61">
        <w:rPr>
          <w:rFonts w:ascii="Times New Roman" w:hAnsi="Times New Roman" w:cs="Times New Roman"/>
          <w:sz w:val="24"/>
          <w:szCs w:val="24"/>
        </w:rPr>
        <w:t xml:space="preserve">Policy approved and Adopted by the Board of Directors of the Company on </w:t>
      </w:r>
      <w:r w:rsidRPr="003109CD">
        <w:rPr>
          <w:rFonts w:ascii="Times New Roman" w:hAnsi="Times New Roman" w:cs="Times New Roman"/>
          <w:sz w:val="24"/>
          <w:szCs w:val="24"/>
        </w:rPr>
        <w:t>May 11th 2020</w:t>
      </w:r>
      <w:r w:rsidRPr="00DE7A61">
        <w:rPr>
          <w:rFonts w:ascii="Times New Roman" w:hAnsi="Times New Roman" w:cs="Times New Roman"/>
          <w:sz w:val="24"/>
          <w:szCs w:val="24"/>
        </w:rPr>
        <w:t>)</w:t>
      </w:r>
    </w:p>
    <w:p w:rsidR="00656F94" w:rsidRPr="00DE7A61" w:rsidRDefault="00656F94">
      <w:pPr>
        <w:rPr>
          <w:rFonts w:ascii="Times New Roman" w:hAnsi="Times New Roman" w:cs="Times New Roman"/>
          <w:sz w:val="24"/>
          <w:szCs w:val="24"/>
        </w:rPr>
      </w:pPr>
      <w:bookmarkStart w:id="0" w:name="_GoBack"/>
      <w:bookmarkEnd w:id="0"/>
    </w:p>
    <w:p w:rsidR="00A31A12" w:rsidRPr="002F7F20" w:rsidRDefault="00A31A12" w:rsidP="002F7F20">
      <w:pPr>
        <w:jc w:val="both"/>
        <w:rPr>
          <w:rFonts w:ascii="Times New Roman" w:hAnsi="Times New Roman" w:cs="Times New Roman"/>
          <w:sz w:val="28"/>
          <w:szCs w:val="28"/>
        </w:rPr>
      </w:pPr>
      <w:r w:rsidRPr="002F7F20">
        <w:rPr>
          <w:rFonts w:ascii="Times New Roman" w:hAnsi="Times New Roman" w:cs="Times New Roman"/>
          <w:b/>
          <w:sz w:val="28"/>
          <w:szCs w:val="28"/>
        </w:rPr>
        <w:t>Objective:-</w:t>
      </w:r>
    </w:p>
    <w:p w:rsidR="00950C9B" w:rsidRDefault="00A31A12" w:rsidP="002F7F20">
      <w:pPr>
        <w:jc w:val="both"/>
        <w:rPr>
          <w:rFonts w:ascii="Times New Roman" w:hAnsi="Times New Roman" w:cs="Times New Roman"/>
          <w:sz w:val="28"/>
          <w:szCs w:val="28"/>
        </w:rPr>
      </w:pPr>
      <w:r w:rsidRPr="002F7F20">
        <w:rPr>
          <w:rFonts w:ascii="Times New Roman" w:hAnsi="Times New Roman" w:cs="Times New Roman"/>
          <w:sz w:val="28"/>
          <w:szCs w:val="28"/>
        </w:rPr>
        <w:t xml:space="preserve">This Policy is framed in accordance </w:t>
      </w:r>
      <w:r w:rsidR="00A70B72" w:rsidRPr="002F7F20">
        <w:rPr>
          <w:rFonts w:ascii="Times New Roman" w:hAnsi="Times New Roman" w:cs="Times New Roman"/>
          <w:sz w:val="28"/>
          <w:szCs w:val="28"/>
        </w:rPr>
        <w:t>with the requirement stated under SEBI (Listing Obligations &amp; Disclosure Requirements) Regulations 2015 and is intended to</w:t>
      </w:r>
      <w:r w:rsidR="00950C9B">
        <w:rPr>
          <w:rFonts w:ascii="Times New Roman" w:hAnsi="Times New Roman" w:cs="Times New Roman"/>
          <w:sz w:val="28"/>
          <w:szCs w:val="28"/>
        </w:rPr>
        <w:t xml:space="preserve"> ensure governance of material Subsidiaries</w:t>
      </w:r>
      <w:r w:rsidR="00A70B72" w:rsidRPr="002F7F20">
        <w:rPr>
          <w:rFonts w:ascii="Times New Roman" w:hAnsi="Times New Roman" w:cs="Times New Roman"/>
          <w:sz w:val="28"/>
          <w:szCs w:val="28"/>
        </w:rPr>
        <w:t xml:space="preserve"> companies of </w:t>
      </w:r>
      <w:r w:rsidR="00F27C28" w:rsidRPr="002F7F20">
        <w:rPr>
          <w:rFonts w:ascii="Times New Roman" w:hAnsi="Times New Roman" w:cs="Times New Roman"/>
          <w:sz w:val="28"/>
          <w:szCs w:val="28"/>
        </w:rPr>
        <w:t>Ventura</w:t>
      </w:r>
      <w:r w:rsidR="00A70B72" w:rsidRPr="002F7F20">
        <w:rPr>
          <w:rFonts w:ascii="Times New Roman" w:hAnsi="Times New Roman" w:cs="Times New Roman"/>
          <w:sz w:val="28"/>
          <w:szCs w:val="28"/>
        </w:rPr>
        <w:t xml:space="preserve"> </w:t>
      </w:r>
      <w:r w:rsidR="00F27C28" w:rsidRPr="002F7F20">
        <w:rPr>
          <w:rFonts w:ascii="Times New Roman" w:hAnsi="Times New Roman" w:cs="Times New Roman"/>
          <w:sz w:val="28"/>
          <w:szCs w:val="28"/>
        </w:rPr>
        <w:t>Textiles</w:t>
      </w:r>
      <w:r w:rsidR="00A70B72" w:rsidRPr="002F7F20">
        <w:rPr>
          <w:rFonts w:ascii="Times New Roman" w:hAnsi="Times New Roman" w:cs="Times New Roman"/>
          <w:sz w:val="28"/>
          <w:szCs w:val="28"/>
        </w:rPr>
        <w:t xml:space="preserve"> Limited. </w:t>
      </w:r>
      <w:r w:rsidR="00950C9B">
        <w:rPr>
          <w:rFonts w:ascii="Times New Roman" w:hAnsi="Times New Roman" w:cs="Times New Roman"/>
          <w:sz w:val="28"/>
          <w:szCs w:val="28"/>
        </w:rPr>
        <w:t xml:space="preserve">In determining whether or not a subsidiary of the company is or has become a material subsidiary, the company shall be guided by and follow this policy and applicable provisions of the LODR regulations. Whether there is conflict between this policy and LODR Regulations, the provisions of the LODR regulations prevail in making such determination. </w:t>
      </w:r>
    </w:p>
    <w:p w:rsidR="00F27C28" w:rsidRDefault="00F27C28" w:rsidP="00656F94">
      <w:pPr>
        <w:tabs>
          <w:tab w:val="left" w:pos="5013"/>
        </w:tabs>
        <w:jc w:val="both"/>
        <w:rPr>
          <w:rFonts w:ascii="Times New Roman" w:hAnsi="Times New Roman" w:cs="Times New Roman"/>
          <w:sz w:val="28"/>
          <w:szCs w:val="28"/>
        </w:rPr>
      </w:pPr>
      <w:r w:rsidRPr="002F7F20">
        <w:rPr>
          <w:rFonts w:ascii="Times New Roman" w:hAnsi="Times New Roman" w:cs="Times New Roman"/>
          <w:b/>
          <w:sz w:val="28"/>
          <w:szCs w:val="28"/>
        </w:rPr>
        <w:t>Definition</w:t>
      </w:r>
      <w:r w:rsidR="00051550">
        <w:rPr>
          <w:rFonts w:ascii="Times New Roman" w:hAnsi="Times New Roman" w:cs="Times New Roman"/>
          <w:b/>
          <w:sz w:val="28"/>
          <w:szCs w:val="28"/>
        </w:rPr>
        <w:t>s</w:t>
      </w:r>
      <w:r w:rsidRPr="002F7F20">
        <w:rPr>
          <w:rFonts w:ascii="Times New Roman" w:hAnsi="Times New Roman" w:cs="Times New Roman"/>
          <w:sz w:val="28"/>
          <w:szCs w:val="28"/>
        </w:rPr>
        <w:t>:-</w:t>
      </w:r>
      <w:r w:rsidR="00656F94">
        <w:rPr>
          <w:rFonts w:ascii="Times New Roman" w:hAnsi="Times New Roman" w:cs="Times New Roman"/>
          <w:sz w:val="28"/>
          <w:szCs w:val="28"/>
        </w:rPr>
        <w:tab/>
      </w:r>
    </w:p>
    <w:p w:rsidR="00051550" w:rsidRPr="002F7F20" w:rsidRDefault="00051550" w:rsidP="00B2281D">
      <w:pPr>
        <w:tabs>
          <w:tab w:val="left" w:pos="3777"/>
        </w:tabs>
        <w:jc w:val="both"/>
        <w:rPr>
          <w:rFonts w:ascii="Times New Roman" w:hAnsi="Times New Roman" w:cs="Times New Roman"/>
          <w:sz w:val="28"/>
          <w:szCs w:val="28"/>
        </w:rPr>
      </w:pPr>
      <w:r>
        <w:rPr>
          <w:rFonts w:ascii="Times New Roman" w:hAnsi="Times New Roman" w:cs="Times New Roman"/>
          <w:sz w:val="28"/>
          <w:szCs w:val="28"/>
        </w:rPr>
        <w:t xml:space="preserve">In this Code unless the context otherwise requires:- </w:t>
      </w:r>
    </w:p>
    <w:p w:rsidR="001D33B0" w:rsidRDefault="005557A9" w:rsidP="001D33B0">
      <w:pPr>
        <w:tabs>
          <w:tab w:val="left" w:pos="3777"/>
          <w:tab w:val="left" w:pos="5597"/>
        </w:tabs>
        <w:jc w:val="both"/>
        <w:rPr>
          <w:rFonts w:ascii="Times New Roman" w:hAnsi="Times New Roman" w:cs="Times New Roman"/>
          <w:sz w:val="28"/>
          <w:szCs w:val="28"/>
        </w:rPr>
      </w:pPr>
      <w:r w:rsidRPr="002F7F20">
        <w:rPr>
          <w:rFonts w:ascii="Times New Roman" w:hAnsi="Times New Roman" w:cs="Times New Roman"/>
          <w:sz w:val="28"/>
          <w:szCs w:val="28"/>
        </w:rPr>
        <w:t>“</w:t>
      </w:r>
      <w:r w:rsidRPr="00B2281D">
        <w:rPr>
          <w:rFonts w:ascii="Times New Roman" w:hAnsi="Times New Roman" w:cs="Times New Roman"/>
          <w:b/>
          <w:sz w:val="28"/>
          <w:szCs w:val="28"/>
        </w:rPr>
        <w:t>Company</w:t>
      </w:r>
      <w:r w:rsidRPr="002F7F20">
        <w:rPr>
          <w:rFonts w:ascii="Times New Roman" w:hAnsi="Times New Roman" w:cs="Times New Roman"/>
          <w:sz w:val="28"/>
          <w:szCs w:val="28"/>
        </w:rPr>
        <w:t>” means Ventura Textiles Limited</w:t>
      </w:r>
      <w:r w:rsidR="00F27C28" w:rsidRPr="002F7F20">
        <w:rPr>
          <w:rFonts w:ascii="Times New Roman" w:hAnsi="Times New Roman" w:cs="Times New Roman"/>
          <w:sz w:val="28"/>
          <w:szCs w:val="28"/>
        </w:rPr>
        <w:tab/>
      </w:r>
    </w:p>
    <w:p w:rsidR="0044505B" w:rsidRDefault="001D33B0" w:rsidP="001D33B0">
      <w:pPr>
        <w:tabs>
          <w:tab w:val="left" w:pos="3777"/>
          <w:tab w:val="left" w:pos="5597"/>
        </w:tabs>
        <w:jc w:val="both"/>
        <w:rPr>
          <w:rFonts w:ascii="Times New Roman" w:hAnsi="Times New Roman" w:cs="Times New Roman"/>
          <w:sz w:val="28"/>
          <w:szCs w:val="28"/>
        </w:rPr>
      </w:pPr>
      <w:r>
        <w:rPr>
          <w:rFonts w:ascii="Times New Roman" w:hAnsi="Times New Roman" w:cs="Times New Roman"/>
          <w:sz w:val="28"/>
          <w:szCs w:val="28"/>
        </w:rPr>
        <w:t>“</w:t>
      </w:r>
      <w:r w:rsidRPr="0044505B">
        <w:rPr>
          <w:rFonts w:ascii="Times New Roman" w:hAnsi="Times New Roman" w:cs="Times New Roman"/>
          <w:b/>
          <w:sz w:val="28"/>
          <w:szCs w:val="28"/>
        </w:rPr>
        <w:t>Audit Committee</w:t>
      </w:r>
      <w:r>
        <w:rPr>
          <w:rFonts w:ascii="Times New Roman" w:hAnsi="Times New Roman" w:cs="Times New Roman"/>
          <w:sz w:val="28"/>
          <w:szCs w:val="28"/>
        </w:rPr>
        <w:t xml:space="preserve">” means the committee constituted by the Board of directors by the company, from time to time, in </w:t>
      </w:r>
      <w:r w:rsidR="0044505B">
        <w:rPr>
          <w:rFonts w:ascii="Times New Roman" w:hAnsi="Times New Roman" w:cs="Times New Roman"/>
          <w:sz w:val="28"/>
          <w:szCs w:val="28"/>
        </w:rPr>
        <w:t>accordance</w:t>
      </w:r>
      <w:r>
        <w:rPr>
          <w:rFonts w:ascii="Times New Roman" w:hAnsi="Times New Roman" w:cs="Times New Roman"/>
          <w:sz w:val="28"/>
          <w:szCs w:val="28"/>
        </w:rPr>
        <w:t xml:space="preserve"> with the </w:t>
      </w:r>
      <w:r w:rsidR="0044505B">
        <w:rPr>
          <w:rFonts w:ascii="Times New Roman" w:hAnsi="Times New Roman" w:cs="Times New Roman"/>
          <w:sz w:val="28"/>
          <w:szCs w:val="28"/>
        </w:rPr>
        <w:t>section 177</w:t>
      </w:r>
      <w:r>
        <w:rPr>
          <w:rFonts w:ascii="Times New Roman" w:hAnsi="Times New Roman" w:cs="Times New Roman"/>
          <w:sz w:val="28"/>
          <w:szCs w:val="28"/>
        </w:rPr>
        <w:t xml:space="preserve"> of the </w:t>
      </w:r>
      <w:r w:rsidR="0044505B">
        <w:rPr>
          <w:rFonts w:ascii="Times New Roman" w:hAnsi="Times New Roman" w:cs="Times New Roman"/>
          <w:sz w:val="28"/>
          <w:szCs w:val="28"/>
        </w:rPr>
        <w:t>companies’</w:t>
      </w:r>
      <w:r>
        <w:rPr>
          <w:rFonts w:ascii="Times New Roman" w:hAnsi="Times New Roman" w:cs="Times New Roman"/>
          <w:sz w:val="28"/>
          <w:szCs w:val="28"/>
        </w:rPr>
        <w:t xml:space="preserve"> act 2013 and Regulation 18 of the LODR Regulation.</w:t>
      </w:r>
      <w:r>
        <w:rPr>
          <w:rFonts w:ascii="Times New Roman" w:hAnsi="Times New Roman" w:cs="Times New Roman"/>
          <w:sz w:val="28"/>
          <w:szCs w:val="28"/>
        </w:rPr>
        <w:tab/>
      </w:r>
    </w:p>
    <w:p w:rsidR="001B1464" w:rsidRDefault="0044505B" w:rsidP="001D33B0">
      <w:pPr>
        <w:tabs>
          <w:tab w:val="left" w:pos="3777"/>
          <w:tab w:val="left" w:pos="5597"/>
        </w:tabs>
        <w:jc w:val="both"/>
        <w:rPr>
          <w:rFonts w:ascii="Times New Roman" w:hAnsi="Times New Roman" w:cs="Times New Roman"/>
          <w:sz w:val="28"/>
          <w:szCs w:val="28"/>
        </w:rPr>
      </w:pPr>
      <w:r>
        <w:rPr>
          <w:rFonts w:ascii="Times New Roman" w:hAnsi="Times New Roman" w:cs="Times New Roman"/>
          <w:sz w:val="28"/>
          <w:szCs w:val="28"/>
        </w:rPr>
        <w:t>“</w:t>
      </w:r>
      <w:r w:rsidRPr="00251289">
        <w:rPr>
          <w:rFonts w:ascii="Times New Roman" w:hAnsi="Times New Roman" w:cs="Times New Roman"/>
          <w:b/>
          <w:sz w:val="28"/>
          <w:szCs w:val="28"/>
        </w:rPr>
        <w:t>Independent Director</w:t>
      </w:r>
      <w:r>
        <w:rPr>
          <w:rFonts w:ascii="Times New Roman" w:hAnsi="Times New Roman" w:cs="Times New Roman"/>
          <w:sz w:val="28"/>
          <w:szCs w:val="28"/>
        </w:rPr>
        <w:t xml:space="preserve">” Shall mean who satisfies the Criteria of the independence under the Companies Act </w:t>
      </w:r>
      <w:r w:rsidR="00B46FAC">
        <w:rPr>
          <w:rFonts w:ascii="Times New Roman" w:hAnsi="Times New Roman" w:cs="Times New Roman"/>
          <w:sz w:val="28"/>
          <w:szCs w:val="28"/>
        </w:rPr>
        <w:t>2013 &amp; LODR Regulations, as amen</w:t>
      </w:r>
      <w:r>
        <w:rPr>
          <w:rFonts w:ascii="Times New Roman" w:hAnsi="Times New Roman" w:cs="Times New Roman"/>
          <w:sz w:val="28"/>
          <w:szCs w:val="28"/>
        </w:rPr>
        <w:t xml:space="preserve">ded from time to time. </w:t>
      </w:r>
    </w:p>
    <w:p w:rsidR="001B1464" w:rsidRDefault="002F7F20" w:rsidP="00B2281D">
      <w:pPr>
        <w:tabs>
          <w:tab w:val="left" w:pos="3777"/>
        </w:tabs>
        <w:jc w:val="both"/>
        <w:rPr>
          <w:rFonts w:ascii="Times New Roman" w:hAnsi="Times New Roman" w:cs="Times New Roman"/>
          <w:sz w:val="28"/>
          <w:szCs w:val="28"/>
        </w:rPr>
      </w:pPr>
      <w:r>
        <w:rPr>
          <w:rFonts w:ascii="Times New Roman" w:hAnsi="Times New Roman" w:cs="Times New Roman"/>
          <w:sz w:val="28"/>
          <w:szCs w:val="28"/>
        </w:rPr>
        <w:t>“</w:t>
      </w:r>
      <w:r w:rsidRPr="00B2281D">
        <w:rPr>
          <w:rFonts w:ascii="Times New Roman" w:hAnsi="Times New Roman" w:cs="Times New Roman"/>
          <w:b/>
          <w:sz w:val="28"/>
          <w:szCs w:val="28"/>
        </w:rPr>
        <w:t>Material Subsidiary</w:t>
      </w:r>
      <w:r>
        <w:rPr>
          <w:rFonts w:ascii="Times New Roman" w:hAnsi="Times New Roman" w:cs="Times New Roman"/>
          <w:sz w:val="28"/>
          <w:szCs w:val="28"/>
        </w:rPr>
        <w:t xml:space="preserve">” shall </w:t>
      </w:r>
      <w:r w:rsidR="001B1464">
        <w:rPr>
          <w:rFonts w:ascii="Times New Roman" w:hAnsi="Times New Roman" w:cs="Times New Roman"/>
          <w:sz w:val="28"/>
          <w:szCs w:val="28"/>
        </w:rPr>
        <w:t xml:space="preserve">have the meaning as </w:t>
      </w:r>
      <w:r w:rsidR="007F5DAF">
        <w:rPr>
          <w:rFonts w:ascii="Times New Roman" w:hAnsi="Times New Roman" w:cs="Times New Roman"/>
          <w:sz w:val="28"/>
          <w:szCs w:val="28"/>
        </w:rPr>
        <w:t>defined</w:t>
      </w:r>
      <w:r w:rsidR="001B1464">
        <w:rPr>
          <w:rFonts w:ascii="Times New Roman" w:hAnsi="Times New Roman" w:cs="Times New Roman"/>
          <w:sz w:val="28"/>
          <w:szCs w:val="28"/>
        </w:rPr>
        <w:t xml:space="preserve"> in the Regulation 16(1)(c) of the LODR regulations, pursuant to which a material subsidiary means a subsidiary, whose income or net</w:t>
      </w:r>
      <w:r w:rsidR="007F5DAF">
        <w:rPr>
          <w:rFonts w:ascii="Times New Roman" w:hAnsi="Times New Roman" w:cs="Times New Roman"/>
          <w:sz w:val="28"/>
          <w:szCs w:val="28"/>
        </w:rPr>
        <w:t xml:space="preserve"> </w:t>
      </w:r>
      <w:r w:rsidR="001B1464">
        <w:rPr>
          <w:rFonts w:ascii="Times New Roman" w:hAnsi="Times New Roman" w:cs="Times New Roman"/>
          <w:sz w:val="28"/>
          <w:szCs w:val="28"/>
        </w:rPr>
        <w:t>worth exceeds 10%(ten percent) of the consolidated income or net worth respectively, of</w:t>
      </w:r>
      <w:r w:rsidR="00EA1D6D">
        <w:rPr>
          <w:rFonts w:ascii="Times New Roman" w:hAnsi="Times New Roman" w:cs="Times New Roman"/>
          <w:sz w:val="28"/>
          <w:szCs w:val="28"/>
        </w:rPr>
        <w:t xml:space="preserve"> the company and its subsidiaries in the immediately preceding accounting year.</w:t>
      </w:r>
    </w:p>
    <w:p w:rsidR="00A31EDA" w:rsidRDefault="00C700AD" w:rsidP="007D2485">
      <w:pPr>
        <w:jc w:val="both"/>
        <w:rPr>
          <w:rFonts w:ascii="Times New Roman" w:hAnsi="Times New Roman" w:cs="Times New Roman"/>
          <w:sz w:val="28"/>
          <w:szCs w:val="28"/>
        </w:rPr>
      </w:pPr>
      <w:r>
        <w:rPr>
          <w:rFonts w:ascii="Times New Roman" w:hAnsi="Times New Roman" w:cs="Times New Roman"/>
          <w:sz w:val="28"/>
          <w:szCs w:val="28"/>
        </w:rPr>
        <w:t xml:space="preserve"> </w:t>
      </w:r>
      <w:r w:rsidR="00ED120D">
        <w:rPr>
          <w:rFonts w:ascii="Times New Roman" w:hAnsi="Times New Roman" w:cs="Times New Roman"/>
          <w:sz w:val="28"/>
          <w:szCs w:val="28"/>
        </w:rPr>
        <w:t>“</w:t>
      </w:r>
      <w:r w:rsidR="00ED120D" w:rsidRPr="00C700AD">
        <w:rPr>
          <w:rFonts w:ascii="Times New Roman" w:hAnsi="Times New Roman" w:cs="Times New Roman"/>
          <w:b/>
          <w:sz w:val="28"/>
          <w:szCs w:val="28"/>
        </w:rPr>
        <w:t>Significant transaction or arrangement</w:t>
      </w:r>
      <w:r w:rsidR="00ED120D">
        <w:rPr>
          <w:rFonts w:ascii="Times New Roman" w:hAnsi="Times New Roman" w:cs="Times New Roman"/>
          <w:sz w:val="28"/>
          <w:szCs w:val="28"/>
        </w:rPr>
        <w:t>” shall mean any individual transaction or arrangement that exc</w:t>
      </w:r>
      <w:r w:rsidR="00B762D4">
        <w:rPr>
          <w:rFonts w:ascii="Times New Roman" w:hAnsi="Times New Roman" w:cs="Times New Roman"/>
          <w:sz w:val="28"/>
          <w:szCs w:val="28"/>
        </w:rPr>
        <w:t xml:space="preserve">eeds or is likely to exceed 10% of the total revenues or total expenses or total assets or total </w:t>
      </w:r>
      <w:r w:rsidR="003D6D76">
        <w:rPr>
          <w:rFonts w:ascii="Times New Roman" w:hAnsi="Times New Roman" w:cs="Times New Roman"/>
          <w:sz w:val="28"/>
          <w:szCs w:val="28"/>
        </w:rPr>
        <w:t>liabilities</w:t>
      </w:r>
      <w:r w:rsidR="00B762D4">
        <w:rPr>
          <w:rFonts w:ascii="Times New Roman" w:hAnsi="Times New Roman" w:cs="Times New Roman"/>
          <w:sz w:val="28"/>
          <w:szCs w:val="28"/>
        </w:rPr>
        <w:t>, as the case may be, of the unlisted subsidiary for the immediately preceding accounting year.</w:t>
      </w:r>
    </w:p>
    <w:p w:rsidR="00F27C28" w:rsidRDefault="00B762D4" w:rsidP="007D2485">
      <w:pPr>
        <w:jc w:val="both"/>
        <w:rPr>
          <w:rFonts w:ascii="Times New Roman" w:hAnsi="Times New Roman" w:cs="Times New Roman"/>
          <w:sz w:val="28"/>
          <w:szCs w:val="28"/>
        </w:rPr>
      </w:pPr>
      <w:r>
        <w:rPr>
          <w:rFonts w:ascii="Times New Roman" w:hAnsi="Times New Roman" w:cs="Times New Roman"/>
          <w:sz w:val="28"/>
          <w:szCs w:val="28"/>
        </w:rPr>
        <w:t xml:space="preserve"> </w:t>
      </w:r>
      <w:r w:rsidR="003B7B72">
        <w:rPr>
          <w:rFonts w:ascii="Times New Roman" w:hAnsi="Times New Roman" w:cs="Times New Roman"/>
          <w:sz w:val="28"/>
          <w:szCs w:val="28"/>
        </w:rPr>
        <w:t>“</w:t>
      </w:r>
      <w:r w:rsidR="003B7B72" w:rsidRPr="00A32EF5">
        <w:rPr>
          <w:rFonts w:ascii="Times New Roman" w:hAnsi="Times New Roman" w:cs="Times New Roman"/>
          <w:b/>
          <w:sz w:val="28"/>
          <w:szCs w:val="28"/>
        </w:rPr>
        <w:t>Subsidiary</w:t>
      </w:r>
      <w:r w:rsidR="003B7B72">
        <w:rPr>
          <w:rFonts w:ascii="Times New Roman" w:hAnsi="Times New Roman" w:cs="Times New Roman"/>
          <w:sz w:val="28"/>
          <w:szCs w:val="28"/>
        </w:rPr>
        <w:t xml:space="preserve">” </w:t>
      </w:r>
      <w:r w:rsidR="004951E2">
        <w:rPr>
          <w:rFonts w:ascii="Times New Roman" w:hAnsi="Times New Roman" w:cs="Times New Roman"/>
          <w:sz w:val="28"/>
          <w:szCs w:val="28"/>
        </w:rPr>
        <w:t xml:space="preserve">shall mean as defined </w:t>
      </w:r>
      <w:r w:rsidR="00D831A1">
        <w:rPr>
          <w:rFonts w:ascii="Times New Roman" w:hAnsi="Times New Roman" w:cs="Times New Roman"/>
          <w:sz w:val="28"/>
          <w:szCs w:val="28"/>
        </w:rPr>
        <w:t xml:space="preserve">under section 2(87) </w:t>
      </w:r>
      <w:r w:rsidR="00DD1CB6">
        <w:rPr>
          <w:rFonts w:ascii="Times New Roman" w:hAnsi="Times New Roman" w:cs="Times New Roman"/>
          <w:sz w:val="28"/>
          <w:szCs w:val="28"/>
        </w:rPr>
        <w:t>of the companies act, 2013 and the rules made thereunder.</w:t>
      </w:r>
    </w:p>
    <w:p w:rsidR="00DD1CB6" w:rsidRDefault="001E45A9" w:rsidP="007D2485">
      <w:pPr>
        <w:jc w:val="both"/>
        <w:rPr>
          <w:rFonts w:ascii="Times New Roman" w:hAnsi="Times New Roman" w:cs="Times New Roman"/>
          <w:sz w:val="28"/>
          <w:szCs w:val="28"/>
        </w:rPr>
      </w:pPr>
      <w:r>
        <w:rPr>
          <w:rFonts w:ascii="Times New Roman" w:hAnsi="Times New Roman" w:cs="Times New Roman"/>
          <w:sz w:val="28"/>
          <w:szCs w:val="28"/>
        </w:rPr>
        <w:t>“</w:t>
      </w:r>
      <w:r w:rsidRPr="00A32EF5">
        <w:rPr>
          <w:rFonts w:ascii="Times New Roman" w:hAnsi="Times New Roman" w:cs="Times New Roman"/>
          <w:b/>
          <w:sz w:val="28"/>
          <w:szCs w:val="28"/>
        </w:rPr>
        <w:t>Unlisted Subsidiary</w:t>
      </w:r>
      <w:r w:rsidR="002C7E19">
        <w:rPr>
          <w:rFonts w:ascii="Times New Roman" w:hAnsi="Times New Roman" w:cs="Times New Roman"/>
          <w:sz w:val="28"/>
          <w:szCs w:val="28"/>
        </w:rPr>
        <w:t xml:space="preserve">” means subsidiary of the company </w:t>
      </w:r>
      <w:r w:rsidR="00551795">
        <w:rPr>
          <w:rFonts w:ascii="Times New Roman" w:hAnsi="Times New Roman" w:cs="Times New Roman"/>
          <w:sz w:val="28"/>
          <w:szCs w:val="28"/>
        </w:rPr>
        <w:t xml:space="preserve">whose securities are not listed on any stock exchange(s) in India provided that </w:t>
      </w:r>
      <w:r w:rsidR="00A11E3A">
        <w:rPr>
          <w:rFonts w:ascii="Times New Roman" w:hAnsi="Times New Roman" w:cs="Times New Roman"/>
          <w:sz w:val="28"/>
          <w:szCs w:val="28"/>
        </w:rPr>
        <w:t xml:space="preserve">where this term is defined </w:t>
      </w:r>
      <w:r w:rsidR="00A11E3A">
        <w:rPr>
          <w:rFonts w:ascii="Times New Roman" w:hAnsi="Times New Roman" w:cs="Times New Roman"/>
          <w:sz w:val="28"/>
          <w:szCs w:val="28"/>
        </w:rPr>
        <w:lastRenderedPageBreak/>
        <w:t>(whether by way of definition</w:t>
      </w:r>
      <w:r w:rsidR="00CF343C">
        <w:rPr>
          <w:rFonts w:ascii="Times New Roman" w:hAnsi="Times New Roman" w:cs="Times New Roman"/>
          <w:sz w:val="28"/>
          <w:szCs w:val="28"/>
        </w:rPr>
        <w:t xml:space="preserve">, clarification or explanation) under </w:t>
      </w:r>
      <w:r w:rsidR="00BA1089">
        <w:rPr>
          <w:rFonts w:ascii="Times New Roman" w:hAnsi="Times New Roman" w:cs="Times New Roman"/>
          <w:sz w:val="28"/>
          <w:szCs w:val="28"/>
        </w:rPr>
        <w:t>the LODR Regulations, it shall</w:t>
      </w:r>
      <w:r>
        <w:rPr>
          <w:rFonts w:ascii="Times New Roman" w:hAnsi="Times New Roman" w:cs="Times New Roman"/>
          <w:sz w:val="28"/>
          <w:szCs w:val="28"/>
        </w:rPr>
        <w:t xml:space="preserve"> </w:t>
      </w:r>
      <w:r w:rsidR="00ED5521">
        <w:rPr>
          <w:rFonts w:ascii="Times New Roman" w:hAnsi="Times New Roman" w:cs="Times New Roman"/>
          <w:sz w:val="28"/>
          <w:szCs w:val="28"/>
        </w:rPr>
        <w:t>have the meaning as per such definition</w:t>
      </w:r>
      <w:r w:rsidR="0028679D">
        <w:rPr>
          <w:rFonts w:ascii="Times New Roman" w:hAnsi="Times New Roman" w:cs="Times New Roman"/>
          <w:sz w:val="28"/>
          <w:szCs w:val="28"/>
        </w:rPr>
        <w:t xml:space="preserve">. </w:t>
      </w:r>
    </w:p>
    <w:p w:rsidR="00F3034D" w:rsidRDefault="00F3034D" w:rsidP="007D2485">
      <w:pPr>
        <w:jc w:val="both"/>
      </w:pPr>
      <w:r>
        <w:rPr>
          <w:rFonts w:ascii="Times New Roman" w:hAnsi="Times New Roman" w:cs="Times New Roman"/>
          <w:sz w:val="28"/>
          <w:szCs w:val="28"/>
        </w:rPr>
        <w:t xml:space="preserve">All terms used in the policy, but not defined above shall have the meanings </w:t>
      </w:r>
      <w:r w:rsidR="006F0768">
        <w:rPr>
          <w:rFonts w:ascii="Times New Roman" w:hAnsi="Times New Roman" w:cs="Times New Roman"/>
          <w:sz w:val="28"/>
          <w:szCs w:val="28"/>
        </w:rPr>
        <w:t xml:space="preserve">ascribed to the act or Regulation, as the case may be. </w:t>
      </w:r>
      <w:r>
        <w:rPr>
          <w:rFonts w:ascii="Times New Roman" w:hAnsi="Times New Roman" w:cs="Times New Roman"/>
          <w:sz w:val="28"/>
          <w:szCs w:val="28"/>
        </w:rPr>
        <w:t xml:space="preserve"> </w:t>
      </w:r>
    </w:p>
    <w:p w:rsidR="009D1D06" w:rsidRDefault="009D1D06" w:rsidP="007D2485">
      <w:pPr>
        <w:jc w:val="both"/>
      </w:pPr>
    </w:p>
    <w:p w:rsidR="009D1D06" w:rsidRPr="005B0BF1" w:rsidRDefault="009D1D06" w:rsidP="007D2485">
      <w:pPr>
        <w:jc w:val="both"/>
        <w:rPr>
          <w:rFonts w:ascii="Times New Roman" w:hAnsi="Times New Roman" w:cs="Times New Roman"/>
          <w:b/>
          <w:sz w:val="28"/>
          <w:szCs w:val="28"/>
        </w:rPr>
      </w:pPr>
      <w:r w:rsidRPr="005B0BF1">
        <w:rPr>
          <w:rFonts w:ascii="Times New Roman" w:hAnsi="Times New Roman" w:cs="Times New Roman"/>
          <w:b/>
          <w:sz w:val="28"/>
          <w:szCs w:val="28"/>
        </w:rPr>
        <w:t>Governance Framework</w:t>
      </w:r>
      <w:r w:rsidR="005B0BF1" w:rsidRPr="005B0BF1">
        <w:rPr>
          <w:rFonts w:ascii="Times New Roman" w:hAnsi="Times New Roman" w:cs="Times New Roman"/>
          <w:sz w:val="28"/>
          <w:szCs w:val="28"/>
        </w:rPr>
        <w:t>:-</w:t>
      </w:r>
      <w:r w:rsidRPr="005B0BF1">
        <w:rPr>
          <w:rFonts w:ascii="Times New Roman" w:hAnsi="Times New Roman" w:cs="Times New Roman"/>
          <w:b/>
          <w:sz w:val="28"/>
          <w:szCs w:val="28"/>
        </w:rPr>
        <w:t xml:space="preserve"> </w:t>
      </w:r>
    </w:p>
    <w:p w:rsidR="00E61BDC" w:rsidRDefault="009D1D06" w:rsidP="009D1D06">
      <w:pPr>
        <w:pStyle w:val="ListParagraph"/>
        <w:numPr>
          <w:ilvl w:val="0"/>
          <w:numId w:val="1"/>
        </w:numPr>
        <w:jc w:val="both"/>
        <w:rPr>
          <w:rFonts w:ascii="Times New Roman" w:hAnsi="Times New Roman" w:cs="Times New Roman"/>
          <w:sz w:val="28"/>
          <w:szCs w:val="28"/>
        </w:rPr>
      </w:pPr>
      <w:r w:rsidRPr="009D1D06">
        <w:rPr>
          <w:rFonts w:ascii="Times New Roman" w:hAnsi="Times New Roman" w:cs="Times New Roman"/>
          <w:sz w:val="28"/>
          <w:szCs w:val="28"/>
        </w:rPr>
        <w:t>At</w:t>
      </w:r>
      <w:r>
        <w:rPr>
          <w:rFonts w:ascii="Times New Roman" w:hAnsi="Times New Roman" w:cs="Times New Roman"/>
          <w:sz w:val="28"/>
          <w:szCs w:val="28"/>
        </w:rPr>
        <w:t xml:space="preserve"> least one independent </w:t>
      </w:r>
      <w:r w:rsidR="00D97952">
        <w:rPr>
          <w:rFonts w:ascii="Times New Roman" w:hAnsi="Times New Roman" w:cs="Times New Roman"/>
          <w:sz w:val="28"/>
          <w:szCs w:val="28"/>
        </w:rPr>
        <w:t>director on the board of directors of the company shall be a director on the board of directors of the unlisted material subsidiary, whether incorporated in India or not</w:t>
      </w:r>
      <w:r w:rsidR="00E61BDC">
        <w:rPr>
          <w:rFonts w:ascii="Times New Roman" w:hAnsi="Times New Roman" w:cs="Times New Roman"/>
          <w:sz w:val="28"/>
          <w:szCs w:val="28"/>
        </w:rPr>
        <w:t>.</w:t>
      </w:r>
    </w:p>
    <w:p w:rsidR="009D1D06" w:rsidRDefault="00E61BDC" w:rsidP="00E61BDC">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 xml:space="preserve">Explanation- For the purpose of this provision, the term material subsidiary shall mean a subsidiary, whose income or </w:t>
      </w:r>
      <w:r w:rsidR="0012752E">
        <w:rPr>
          <w:rFonts w:ascii="Times New Roman" w:hAnsi="Times New Roman" w:cs="Times New Roman"/>
          <w:sz w:val="28"/>
          <w:szCs w:val="28"/>
        </w:rPr>
        <w:t>net worth</w:t>
      </w:r>
      <w:r>
        <w:rPr>
          <w:rFonts w:ascii="Times New Roman" w:hAnsi="Times New Roman" w:cs="Times New Roman"/>
          <w:sz w:val="28"/>
          <w:szCs w:val="28"/>
        </w:rPr>
        <w:t xml:space="preserve"> exceeds 20% (twenty percent) of the consolidated i</w:t>
      </w:r>
      <w:r w:rsidR="005909A9">
        <w:rPr>
          <w:rFonts w:ascii="Times New Roman" w:hAnsi="Times New Roman" w:cs="Times New Roman"/>
          <w:sz w:val="28"/>
          <w:szCs w:val="28"/>
        </w:rPr>
        <w:t xml:space="preserve">ncome or </w:t>
      </w:r>
      <w:r w:rsidR="0012752E">
        <w:rPr>
          <w:rFonts w:ascii="Times New Roman" w:hAnsi="Times New Roman" w:cs="Times New Roman"/>
          <w:sz w:val="28"/>
          <w:szCs w:val="28"/>
        </w:rPr>
        <w:t>net worth</w:t>
      </w:r>
      <w:r w:rsidR="005909A9">
        <w:rPr>
          <w:rFonts w:ascii="Times New Roman" w:hAnsi="Times New Roman" w:cs="Times New Roman"/>
          <w:sz w:val="28"/>
          <w:szCs w:val="28"/>
        </w:rPr>
        <w:t xml:space="preserve"> respectively, of the listed entity and its subsidiary in the </w:t>
      </w:r>
      <w:r w:rsidR="0012752E">
        <w:rPr>
          <w:rFonts w:ascii="Times New Roman" w:hAnsi="Times New Roman" w:cs="Times New Roman"/>
          <w:sz w:val="28"/>
          <w:szCs w:val="28"/>
        </w:rPr>
        <w:t>immediately</w:t>
      </w:r>
      <w:r w:rsidR="005909A9">
        <w:rPr>
          <w:rFonts w:ascii="Times New Roman" w:hAnsi="Times New Roman" w:cs="Times New Roman"/>
          <w:sz w:val="28"/>
          <w:szCs w:val="28"/>
        </w:rPr>
        <w:t xml:space="preserve"> preceding accounting year.) </w:t>
      </w:r>
      <w:r w:rsidR="00D97952">
        <w:rPr>
          <w:rFonts w:ascii="Times New Roman" w:hAnsi="Times New Roman" w:cs="Times New Roman"/>
          <w:sz w:val="28"/>
          <w:szCs w:val="28"/>
        </w:rPr>
        <w:t xml:space="preserve"> </w:t>
      </w:r>
    </w:p>
    <w:p w:rsidR="0012752E" w:rsidRDefault="0012752E" w:rsidP="0012752E">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The Audit Committee of the Company shall review the </w:t>
      </w:r>
      <w:r w:rsidR="00C55BD6">
        <w:rPr>
          <w:rFonts w:ascii="Times New Roman" w:hAnsi="Times New Roman" w:cs="Times New Roman"/>
          <w:sz w:val="28"/>
          <w:szCs w:val="28"/>
        </w:rPr>
        <w:t>Financial Statements</w:t>
      </w:r>
      <w:r w:rsidR="00553AB4">
        <w:rPr>
          <w:rFonts w:ascii="Times New Roman" w:hAnsi="Times New Roman" w:cs="Times New Roman"/>
          <w:sz w:val="28"/>
          <w:szCs w:val="28"/>
        </w:rPr>
        <w:t xml:space="preserve">, in particular, the investments made by the unlisted subsidiary company (including the unlisted material subsidiary). </w:t>
      </w:r>
    </w:p>
    <w:p w:rsidR="00C55BD6" w:rsidRDefault="00C55BD6" w:rsidP="0012752E">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The minutes of the Meetings of the board of directors of the unlisted Subsidiary (including the unlisted material subsidiary) shall be placed at the meeting of the board of directors of the company. </w:t>
      </w:r>
    </w:p>
    <w:p w:rsidR="006C436D" w:rsidRDefault="00DC2501" w:rsidP="00F14204">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The management of the unlisted subsidiary shall periodically bring to the notice of the </w:t>
      </w:r>
      <w:r w:rsidRPr="00DC2501">
        <w:rPr>
          <w:rFonts w:ascii="Times New Roman" w:hAnsi="Times New Roman" w:cs="Times New Roman"/>
          <w:sz w:val="28"/>
          <w:szCs w:val="28"/>
        </w:rPr>
        <w:t>Board</w:t>
      </w:r>
      <w:r>
        <w:rPr>
          <w:rFonts w:ascii="Times New Roman" w:hAnsi="Times New Roman" w:cs="Times New Roman"/>
          <w:sz w:val="28"/>
          <w:szCs w:val="28"/>
        </w:rPr>
        <w:t xml:space="preserve"> of Directors of the company</w:t>
      </w:r>
      <w:r w:rsidR="00E254A7">
        <w:rPr>
          <w:rFonts w:ascii="Times New Roman" w:hAnsi="Times New Roman" w:cs="Times New Roman"/>
          <w:sz w:val="28"/>
          <w:szCs w:val="28"/>
        </w:rPr>
        <w:t>, a statement of all significant transactions or arrangements entered into by the unlisted subsidiary (including unlisted material subsidiary).</w:t>
      </w:r>
    </w:p>
    <w:p w:rsidR="00F14204" w:rsidRPr="00F14204" w:rsidRDefault="00F14204" w:rsidP="00F14204">
      <w:pPr>
        <w:pStyle w:val="ListParagraph"/>
        <w:ind w:left="1080"/>
        <w:jc w:val="both"/>
        <w:rPr>
          <w:rFonts w:ascii="Times New Roman" w:hAnsi="Times New Roman" w:cs="Times New Roman"/>
          <w:sz w:val="28"/>
          <w:szCs w:val="28"/>
        </w:rPr>
      </w:pPr>
    </w:p>
    <w:p w:rsidR="006C436D" w:rsidRPr="00E6322A" w:rsidRDefault="006C436D" w:rsidP="006C436D">
      <w:pPr>
        <w:ind w:left="360"/>
        <w:jc w:val="both"/>
        <w:rPr>
          <w:rFonts w:ascii="Times New Roman" w:hAnsi="Times New Roman" w:cs="Times New Roman"/>
          <w:b/>
          <w:sz w:val="28"/>
          <w:szCs w:val="28"/>
        </w:rPr>
      </w:pPr>
      <w:r w:rsidRPr="00E6322A">
        <w:rPr>
          <w:rFonts w:ascii="Times New Roman" w:hAnsi="Times New Roman" w:cs="Times New Roman"/>
          <w:b/>
          <w:sz w:val="28"/>
          <w:szCs w:val="28"/>
        </w:rPr>
        <w:t xml:space="preserve">Secretarial Audit of Material Subsidiary </w:t>
      </w:r>
    </w:p>
    <w:p w:rsidR="00F52AF6" w:rsidRDefault="00F52AF6" w:rsidP="006C436D">
      <w:pPr>
        <w:ind w:left="360"/>
        <w:jc w:val="both"/>
        <w:rPr>
          <w:rFonts w:ascii="Times New Roman" w:hAnsi="Times New Roman" w:cs="Times New Roman"/>
          <w:sz w:val="28"/>
          <w:szCs w:val="28"/>
        </w:rPr>
      </w:pPr>
      <w:r w:rsidRPr="00F52AF6">
        <w:rPr>
          <w:rFonts w:ascii="Times New Roman" w:hAnsi="Times New Roman" w:cs="Times New Roman"/>
          <w:sz w:val="28"/>
          <w:szCs w:val="28"/>
        </w:rPr>
        <w:t>Every company</w:t>
      </w:r>
      <w:r>
        <w:rPr>
          <w:rFonts w:ascii="Times New Roman" w:hAnsi="Times New Roman" w:cs="Times New Roman"/>
          <w:sz w:val="28"/>
          <w:szCs w:val="28"/>
        </w:rPr>
        <w:t xml:space="preserve"> and its material unlisted subsidiaries incorporated in India shall undertake secretarial Audit and shall annex with its annual report, a secretarial audit report, given by a company secretary in Practice, with effect </w:t>
      </w:r>
      <w:r w:rsidR="008A0C40">
        <w:rPr>
          <w:rFonts w:ascii="Times New Roman" w:hAnsi="Times New Roman" w:cs="Times New Roman"/>
          <w:sz w:val="28"/>
          <w:szCs w:val="28"/>
        </w:rPr>
        <w:t>from</w:t>
      </w:r>
      <w:r>
        <w:rPr>
          <w:rFonts w:ascii="Times New Roman" w:hAnsi="Times New Roman" w:cs="Times New Roman"/>
          <w:sz w:val="28"/>
          <w:szCs w:val="28"/>
        </w:rPr>
        <w:t xml:space="preserve"> the year ended March 31,</w:t>
      </w:r>
      <w:r w:rsidR="008A0C40">
        <w:rPr>
          <w:rFonts w:ascii="Times New Roman" w:hAnsi="Times New Roman" w:cs="Times New Roman"/>
          <w:sz w:val="28"/>
          <w:szCs w:val="28"/>
        </w:rPr>
        <w:t xml:space="preserve"> </w:t>
      </w:r>
      <w:r>
        <w:rPr>
          <w:rFonts w:ascii="Times New Roman" w:hAnsi="Times New Roman" w:cs="Times New Roman"/>
          <w:sz w:val="28"/>
          <w:szCs w:val="28"/>
        </w:rPr>
        <w:t>2019.</w:t>
      </w:r>
    </w:p>
    <w:p w:rsidR="00F14204" w:rsidRDefault="00F14204" w:rsidP="00F633FB">
      <w:pPr>
        <w:jc w:val="both"/>
        <w:rPr>
          <w:rFonts w:ascii="Times New Roman" w:hAnsi="Times New Roman" w:cs="Times New Roman"/>
          <w:b/>
          <w:sz w:val="32"/>
          <w:szCs w:val="32"/>
        </w:rPr>
      </w:pPr>
    </w:p>
    <w:p w:rsidR="00F14204" w:rsidRPr="00E6322A" w:rsidRDefault="00F14204" w:rsidP="006C436D">
      <w:pPr>
        <w:ind w:left="360"/>
        <w:jc w:val="both"/>
        <w:rPr>
          <w:rFonts w:ascii="Times New Roman" w:hAnsi="Times New Roman" w:cs="Times New Roman"/>
          <w:b/>
          <w:sz w:val="28"/>
          <w:szCs w:val="28"/>
        </w:rPr>
      </w:pPr>
      <w:r w:rsidRPr="00E6322A">
        <w:rPr>
          <w:rFonts w:ascii="Times New Roman" w:hAnsi="Times New Roman" w:cs="Times New Roman"/>
          <w:b/>
          <w:sz w:val="28"/>
          <w:szCs w:val="28"/>
        </w:rPr>
        <w:t>Disposal of Material Subsidiary</w:t>
      </w:r>
    </w:p>
    <w:p w:rsidR="000D5E07" w:rsidRDefault="002C199A" w:rsidP="006C436D">
      <w:pPr>
        <w:ind w:left="360"/>
        <w:jc w:val="both"/>
        <w:rPr>
          <w:rFonts w:ascii="Times New Roman" w:hAnsi="Times New Roman" w:cs="Times New Roman"/>
          <w:sz w:val="28"/>
          <w:szCs w:val="28"/>
        </w:rPr>
      </w:pPr>
      <w:r w:rsidRPr="002C199A">
        <w:rPr>
          <w:rFonts w:ascii="Times New Roman" w:hAnsi="Times New Roman" w:cs="Times New Roman"/>
          <w:sz w:val="28"/>
          <w:szCs w:val="28"/>
        </w:rPr>
        <w:t xml:space="preserve">The </w:t>
      </w:r>
      <w:r>
        <w:rPr>
          <w:rFonts w:ascii="Times New Roman" w:hAnsi="Times New Roman" w:cs="Times New Roman"/>
          <w:sz w:val="28"/>
          <w:szCs w:val="28"/>
        </w:rPr>
        <w:t xml:space="preserve">Company shall not dispose of shares in its material subsidiary resulting in reduction of its shareholding (either on its own or together with other subsidiaries) to less than fifty percent or cease the exercise of control over the subsidiary without passing a special resolution in its General Meeting except </w:t>
      </w:r>
      <w:r>
        <w:rPr>
          <w:rFonts w:ascii="Times New Roman" w:hAnsi="Times New Roman" w:cs="Times New Roman"/>
          <w:sz w:val="28"/>
          <w:szCs w:val="28"/>
        </w:rPr>
        <w:lastRenderedPageBreak/>
        <w:t xml:space="preserve">in cases where such divestment is made under a scheme of arrangement duly approved by a court/tribunal, </w:t>
      </w:r>
      <w:r w:rsidR="00ED6CAD">
        <w:rPr>
          <w:rFonts w:ascii="Times New Roman" w:hAnsi="Times New Roman" w:cs="Times New Roman"/>
          <w:sz w:val="28"/>
          <w:szCs w:val="28"/>
        </w:rPr>
        <w:t xml:space="preserve">or under resolution plan duly approved under section 31 of the Insolvency Code and such an event is disclosed to the recognized stock exchanges within one day of the resolution plan being approved. </w:t>
      </w:r>
    </w:p>
    <w:p w:rsidR="00523F11" w:rsidRDefault="000D5E07" w:rsidP="00E6322A">
      <w:pPr>
        <w:ind w:left="360"/>
        <w:jc w:val="both"/>
        <w:rPr>
          <w:rFonts w:ascii="Times New Roman" w:hAnsi="Times New Roman" w:cs="Times New Roman"/>
          <w:sz w:val="28"/>
          <w:szCs w:val="28"/>
        </w:rPr>
      </w:pPr>
      <w:r>
        <w:rPr>
          <w:rFonts w:ascii="Times New Roman" w:hAnsi="Times New Roman" w:cs="Times New Roman"/>
          <w:sz w:val="28"/>
          <w:szCs w:val="28"/>
        </w:rPr>
        <w:t xml:space="preserve">Selling, disposing and leasing of assets amounting to more than twenty percent of the assets of the material subsidiary on an aggregate basis during a financial year shall require prior approval of shareholders by way of  special resolution, unless the sale/disposal/lease is made under a scheme of arrangement </w:t>
      </w:r>
      <w:r w:rsidR="007E20C9">
        <w:rPr>
          <w:rFonts w:ascii="Times New Roman" w:hAnsi="Times New Roman" w:cs="Times New Roman"/>
          <w:sz w:val="28"/>
          <w:szCs w:val="28"/>
        </w:rPr>
        <w:t xml:space="preserve">duly approved by a court/tribunal or under a resolution plan duly approved under section 31 of the </w:t>
      </w:r>
      <w:r w:rsidR="001A7FF5">
        <w:rPr>
          <w:rFonts w:ascii="Times New Roman" w:hAnsi="Times New Roman" w:cs="Times New Roman"/>
          <w:sz w:val="28"/>
          <w:szCs w:val="28"/>
        </w:rPr>
        <w:t>Insolvency</w:t>
      </w:r>
      <w:r w:rsidR="007E20C9">
        <w:rPr>
          <w:rFonts w:ascii="Times New Roman" w:hAnsi="Times New Roman" w:cs="Times New Roman"/>
          <w:sz w:val="28"/>
          <w:szCs w:val="28"/>
        </w:rPr>
        <w:t xml:space="preserve"> Code and such an event is disclosed to recognized stock exchanges within one day of the resolution plan being approved.  </w:t>
      </w:r>
    </w:p>
    <w:p w:rsidR="00E6322A" w:rsidRDefault="00E6322A" w:rsidP="00E6322A">
      <w:pPr>
        <w:ind w:left="360"/>
        <w:jc w:val="both"/>
        <w:rPr>
          <w:rFonts w:ascii="Times New Roman" w:hAnsi="Times New Roman" w:cs="Times New Roman"/>
          <w:sz w:val="28"/>
          <w:szCs w:val="28"/>
        </w:rPr>
      </w:pPr>
    </w:p>
    <w:p w:rsidR="000C3599" w:rsidRPr="00E6322A" w:rsidRDefault="00523F11" w:rsidP="006C436D">
      <w:pPr>
        <w:ind w:left="360"/>
        <w:jc w:val="both"/>
        <w:rPr>
          <w:rFonts w:ascii="Times New Roman" w:hAnsi="Times New Roman" w:cs="Times New Roman"/>
          <w:b/>
          <w:sz w:val="28"/>
          <w:szCs w:val="28"/>
        </w:rPr>
      </w:pPr>
      <w:r w:rsidRPr="00E6322A">
        <w:rPr>
          <w:rFonts w:ascii="Times New Roman" w:hAnsi="Times New Roman" w:cs="Times New Roman"/>
          <w:b/>
          <w:sz w:val="28"/>
          <w:szCs w:val="28"/>
        </w:rPr>
        <w:t>Amendment to the Policy</w:t>
      </w:r>
    </w:p>
    <w:p w:rsidR="00523F11" w:rsidRDefault="002B0183" w:rsidP="006C436D">
      <w:pPr>
        <w:ind w:left="360"/>
        <w:jc w:val="both"/>
        <w:rPr>
          <w:rFonts w:ascii="Times New Roman" w:hAnsi="Times New Roman" w:cs="Times New Roman"/>
          <w:sz w:val="28"/>
          <w:szCs w:val="28"/>
        </w:rPr>
      </w:pPr>
      <w:r w:rsidRPr="002B0183">
        <w:rPr>
          <w:rFonts w:ascii="Times New Roman" w:hAnsi="Times New Roman" w:cs="Times New Roman"/>
          <w:sz w:val="28"/>
          <w:szCs w:val="28"/>
        </w:rPr>
        <w:t xml:space="preserve">The </w:t>
      </w:r>
      <w:r>
        <w:rPr>
          <w:rFonts w:ascii="Times New Roman" w:hAnsi="Times New Roman" w:cs="Times New Roman"/>
          <w:sz w:val="28"/>
          <w:szCs w:val="28"/>
        </w:rPr>
        <w:t>Board shall have the power to clarify the doubts or rectify any anomalies that may exist in connection with the effective execution of this policy. The Board reserves the rights to amend this policy from time to time based on changing requirements as prescribed by SEBI/Stock Exchanges or any other appropriate Statutory Authority.</w:t>
      </w:r>
    </w:p>
    <w:p w:rsidR="00E6322A" w:rsidRDefault="00E6322A" w:rsidP="006C436D">
      <w:pPr>
        <w:ind w:left="360"/>
        <w:jc w:val="both"/>
        <w:rPr>
          <w:rFonts w:ascii="Times New Roman" w:hAnsi="Times New Roman" w:cs="Times New Roman"/>
          <w:sz w:val="28"/>
          <w:szCs w:val="28"/>
        </w:rPr>
      </w:pPr>
    </w:p>
    <w:p w:rsidR="002B0183" w:rsidRPr="00E6322A" w:rsidRDefault="002B0183" w:rsidP="006C436D">
      <w:pPr>
        <w:ind w:left="360"/>
        <w:jc w:val="both"/>
        <w:rPr>
          <w:rFonts w:ascii="Times New Roman" w:hAnsi="Times New Roman" w:cs="Times New Roman"/>
          <w:b/>
          <w:sz w:val="28"/>
          <w:szCs w:val="28"/>
        </w:rPr>
      </w:pPr>
      <w:r w:rsidRPr="00E6322A">
        <w:rPr>
          <w:rFonts w:ascii="Times New Roman" w:hAnsi="Times New Roman" w:cs="Times New Roman"/>
          <w:b/>
          <w:sz w:val="28"/>
          <w:szCs w:val="28"/>
        </w:rPr>
        <w:t xml:space="preserve">Disclosure </w:t>
      </w:r>
      <w:r w:rsidR="00A870A8" w:rsidRPr="00E6322A">
        <w:rPr>
          <w:rFonts w:ascii="Times New Roman" w:hAnsi="Times New Roman" w:cs="Times New Roman"/>
          <w:b/>
          <w:sz w:val="28"/>
          <w:szCs w:val="28"/>
        </w:rPr>
        <w:t xml:space="preserve">of the Policy </w:t>
      </w:r>
    </w:p>
    <w:p w:rsidR="005778C0" w:rsidRDefault="00A870A8" w:rsidP="006C436D">
      <w:pPr>
        <w:ind w:left="360"/>
        <w:jc w:val="both"/>
        <w:rPr>
          <w:rFonts w:ascii="Times New Roman" w:hAnsi="Times New Roman" w:cs="Times New Roman"/>
          <w:sz w:val="32"/>
          <w:szCs w:val="32"/>
        </w:rPr>
      </w:pPr>
      <w:r w:rsidRPr="00E6322A">
        <w:rPr>
          <w:rFonts w:ascii="Times New Roman" w:hAnsi="Times New Roman" w:cs="Times New Roman"/>
          <w:sz w:val="28"/>
          <w:szCs w:val="28"/>
        </w:rPr>
        <w:t xml:space="preserve">The Company shall disclose this policy on its website. </w:t>
      </w:r>
      <w:r w:rsidR="00207CFC" w:rsidRPr="00E6322A">
        <w:rPr>
          <w:rFonts w:ascii="Times New Roman" w:hAnsi="Times New Roman" w:cs="Times New Roman"/>
          <w:sz w:val="28"/>
          <w:szCs w:val="28"/>
        </w:rPr>
        <w:t>The necessary disclosure, if any, about the policy will also be made as per requirements of LODR Regulations and Companies Act 2013</w:t>
      </w:r>
      <w:r w:rsidR="00207CFC">
        <w:rPr>
          <w:rFonts w:ascii="Times New Roman" w:hAnsi="Times New Roman" w:cs="Times New Roman"/>
          <w:sz w:val="32"/>
          <w:szCs w:val="32"/>
        </w:rPr>
        <w:t>.</w:t>
      </w:r>
    </w:p>
    <w:p w:rsidR="005778C0" w:rsidRDefault="005778C0" w:rsidP="006C436D">
      <w:pPr>
        <w:ind w:left="360"/>
        <w:jc w:val="both"/>
        <w:rPr>
          <w:rFonts w:ascii="Times New Roman" w:hAnsi="Times New Roman" w:cs="Times New Roman"/>
          <w:sz w:val="32"/>
          <w:szCs w:val="32"/>
        </w:rPr>
      </w:pPr>
    </w:p>
    <w:p w:rsidR="00A870A8" w:rsidRPr="00A870A8" w:rsidRDefault="005778C0" w:rsidP="005778C0">
      <w:pPr>
        <w:ind w:left="360"/>
        <w:jc w:val="center"/>
        <w:rPr>
          <w:rFonts w:ascii="Times New Roman" w:hAnsi="Times New Roman" w:cs="Times New Roman"/>
          <w:sz w:val="32"/>
          <w:szCs w:val="32"/>
        </w:rPr>
      </w:pPr>
      <w:r>
        <w:rPr>
          <w:rFonts w:ascii="Times New Roman" w:hAnsi="Times New Roman" w:cs="Times New Roman"/>
          <w:sz w:val="32"/>
          <w:szCs w:val="32"/>
        </w:rPr>
        <w:t>*****</w:t>
      </w:r>
    </w:p>
    <w:p w:rsidR="00F14204" w:rsidRPr="002C199A" w:rsidRDefault="00ED6CAD" w:rsidP="006C436D">
      <w:pPr>
        <w:ind w:left="360"/>
        <w:jc w:val="both"/>
        <w:rPr>
          <w:rFonts w:ascii="Times New Roman" w:hAnsi="Times New Roman" w:cs="Times New Roman"/>
          <w:sz w:val="28"/>
          <w:szCs w:val="28"/>
        </w:rPr>
      </w:pPr>
      <w:r>
        <w:rPr>
          <w:rFonts w:ascii="Times New Roman" w:hAnsi="Times New Roman" w:cs="Times New Roman"/>
          <w:sz w:val="28"/>
          <w:szCs w:val="28"/>
        </w:rPr>
        <w:t xml:space="preserve"> </w:t>
      </w:r>
    </w:p>
    <w:p w:rsidR="00F14204" w:rsidRPr="00F14204" w:rsidRDefault="00F14204" w:rsidP="006C436D">
      <w:pPr>
        <w:ind w:left="360"/>
        <w:jc w:val="both"/>
        <w:rPr>
          <w:rFonts w:ascii="Times New Roman" w:hAnsi="Times New Roman" w:cs="Times New Roman"/>
          <w:b/>
          <w:sz w:val="32"/>
          <w:szCs w:val="32"/>
        </w:rPr>
      </w:pPr>
    </w:p>
    <w:sectPr w:rsidR="00F14204" w:rsidRPr="00F142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791" w:rsidRDefault="00BD4791" w:rsidP="00DE7A61">
      <w:pPr>
        <w:spacing w:after="0" w:line="240" w:lineRule="auto"/>
      </w:pPr>
      <w:r>
        <w:separator/>
      </w:r>
    </w:p>
  </w:endnote>
  <w:endnote w:type="continuationSeparator" w:id="0">
    <w:p w:rsidR="00BD4791" w:rsidRDefault="00BD4791" w:rsidP="00DE7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791" w:rsidRDefault="00BD4791" w:rsidP="00DE7A61">
      <w:pPr>
        <w:spacing w:after="0" w:line="240" w:lineRule="auto"/>
      </w:pPr>
      <w:r>
        <w:separator/>
      </w:r>
    </w:p>
  </w:footnote>
  <w:footnote w:type="continuationSeparator" w:id="0">
    <w:p w:rsidR="00BD4791" w:rsidRDefault="00BD4791" w:rsidP="00DE7A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6C0C2D"/>
    <w:multiLevelType w:val="hybridMultilevel"/>
    <w:tmpl w:val="B0BA4760"/>
    <w:lvl w:ilvl="0" w:tplc="2CB6BE8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858"/>
    <w:rsid w:val="00004F42"/>
    <w:rsid w:val="00051550"/>
    <w:rsid w:val="00055193"/>
    <w:rsid w:val="0006133F"/>
    <w:rsid w:val="000C3599"/>
    <w:rsid w:val="000D5E07"/>
    <w:rsid w:val="00104858"/>
    <w:rsid w:val="0012752E"/>
    <w:rsid w:val="001A7FF5"/>
    <w:rsid w:val="001B1464"/>
    <w:rsid w:val="001D33B0"/>
    <w:rsid w:val="001E45A9"/>
    <w:rsid w:val="00207CFC"/>
    <w:rsid w:val="00251289"/>
    <w:rsid w:val="0028679D"/>
    <w:rsid w:val="002B0183"/>
    <w:rsid w:val="002C199A"/>
    <w:rsid w:val="002C7E19"/>
    <w:rsid w:val="002F7F20"/>
    <w:rsid w:val="003109CD"/>
    <w:rsid w:val="00335B10"/>
    <w:rsid w:val="003B7B72"/>
    <w:rsid w:val="003C497F"/>
    <w:rsid w:val="003D6D76"/>
    <w:rsid w:val="00426D05"/>
    <w:rsid w:val="0044505B"/>
    <w:rsid w:val="00462977"/>
    <w:rsid w:val="004934C0"/>
    <w:rsid w:val="004951E2"/>
    <w:rsid w:val="00523F11"/>
    <w:rsid w:val="00551795"/>
    <w:rsid w:val="00553AB4"/>
    <w:rsid w:val="005557A9"/>
    <w:rsid w:val="005778C0"/>
    <w:rsid w:val="005909A9"/>
    <w:rsid w:val="005B0BF1"/>
    <w:rsid w:val="006509A4"/>
    <w:rsid w:val="00656F94"/>
    <w:rsid w:val="006C436D"/>
    <w:rsid w:val="006F0768"/>
    <w:rsid w:val="006F2A93"/>
    <w:rsid w:val="007D2485"/>
    <w:rsid w:val="007E20C9"/>
    <w:rsid w:val="007F5DAF"/>
    <w:rsid w:val="00827CCF"/>
    <w:rsid w:val="008A0C40"/>
    <w:rsid w:val="008F52DA"/>
    <w:rsid w:val="008F732A"/>
    <w:rsid w:val="00950C9B"/>
    <w:rsid w:val="009600A0"/>
    <w:rsid w:val="009D1D06"/>
    <w:rsid w:val="00A11E3A"/>
    <w:rsid w:val="00A31A12"/>
    <w:rsid w:val="00A31EDA"/>
    <w:rsid w:val="00A32EF5"/>
    <w:rsid w:val="00A70B72"/>
    <w:rsid w:val="00A870A8"/>
    <w:rsid w:val="00AC7E00"/>
    <w:rsid w:val="00AD67C4"/>
    <w:rsid w:val="00B2281D"/>
    <w:rsid w:val="00B46FAC"/>
    <w:rsid w:val="00B762D4"/>
    <w:rsid w:val="00BA1089"/>
    <w:rsid w:val="00BD4791"/>
    <w:rsid w:val="00C55BD6"/>
    <w:rsid w:val="00C700AD"/>
    <w:rsid w:val="00CF343C"/>
    <w:rsid w:val="00D535F0"/>
    <w:rsid w:val="00D831A1"/>
    <w:rsid w:val="00D97952"/>
    <w:rsid w:val="00DC2501"/>
    <w:rsid w:val="00DD1CB6"/>
    <w:rsid w:val="00DE5669"/>
    <w:rsid w:val="00DE7A61"/>
    <w:rsid w:val="00E254A7"/>
    <w:rsid w:val="00E4196A"/>
    <w:rsid w:val="00E61BDC"/>
    <w:rsid w:val="00E6322A"/>
    <w:rsid w:val="00EA1D6D"/>
    <w:rsid w:val="00ED120D"/>
    <w:rsid w:val="00ED5521"/>
    <w:rsid w:val="00ED6CAD"/>
    <w:rsid w:val="00EF2106"/>
    <w:rsid w:val="00F14204"/>
    <w:rsid w:val="00F27C28"/>
    <w:rsid w:val="00F3034D"/>
    <w:rsid w:val="00F52AF6"/>
    <w:rsid w:val="00F633FB"/>
    <w:rsid w:val="00FD3F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BE5A9-41EE-4B5D-98F8-3BCBD352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A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A61"/>
  </w:style>
  <w:style w:type="paragraph" w:styleId="Footer">
    <w:name w:val="footer"/>
    <w:basedOn w:val="Normal"/>
    <w:link w:val="FooterChar"/>
    <w:uiPriority w:val="99"/>
    <w:unhideWhenUsed/>
    <w:rsid w:val="00DE7A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A61"/>
  </w:style>
  <w:style w:type="paragraph" w:styleId="ListParagraph">
    <w:name w:val="List Paragraph"/>
    <w:basedOn w:val="Normal"/>
    <w:uiPriority w:val="34"/>
    <w:qFormat/>
    <w:rsid w:val="009D1D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479</TotalTime>
  <Pages>4</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97</cp:revision>
  <dcterms:created xsi:type="dcterms:W3CDTF">2020-05-11T05:56:00Z</dcterms:created>
  <dcterms:modified xsi:type="dcterms:W3CDTF">2020-05-13T10:47:00Z</dcterms:modified>
</cp:coreProperties>
</file>